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5E253F09" w:rsidR="0058708F" w:rsidRPr="00D67B0C" w:rsidRDefault="009C0ED2" w:rsidP="007119A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p>
        </w:tc>
        <w:tc>
          <w:tcPr>
            <w:tcW w:w="3402" w:type="dxa"/>
          </w:tcPr>
          <w:p w14:paraId="6D576C06" w14:textId="089E096D" w:rsidR="00242633" w:rsidRPr="001023CF" w:rsidRDefault="00174811" w:rsidP="0059280C">
            <w:pPr>
              <w:spacing w:after="240"/>
              <w:ind w:left="34"/>
              <w:jc w:val="right"/>
              <w:rPr>
                <w:rFonts w:ascii="Arial" w:hAnsi="Arial" w:cs="Arial"/>
                <w:szCs w:val="24"/>
              </w:rPr>
            </w:pPr>
            <w:r>
              <w:rPr>
                <w:rFonts w:ascii="Arial" w:hAnsi="Arial" w:cs="Arial"/>
                <w:szCs w:val="24"/>
              </w:rPr>
              <w:t>23</w:t>
            </w:r>
            <w:r w:rsidR="00345241">
              <w:rPr>
                <w:rFonts w:ascii="Arial" w:hAnsi="Arial" w:cs="Arial"/>
                <w:szCs w:val="24"/>
              </w:rPr>
              <w:t xml:space="preserve"> </w:t>
            </w:r>
            <w:r w:rsidR="00C63070">
              <w:rPr>
                <w:rFonts w:ascii="Arial" w:hAnsi="Arial" w:cs="Arial"/>
                <w:szCs w:val="24"/>
              </w:rPr>
              <w:t>June</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24C3E948" w:rsidR="00242633" w:rsidRPr="00784955" w:rsidRDefault="00C63070" w:rsidP="007D12AF">
            <w:pPr>
              <w:spacing w:after="360"/>
              <w:rPr>
                <w:rFonts w:ascii="Arial" w:hAnsi="Arial" w:cs="Arial"/>
                <w:b/>
                <w:szCs w:val="24"/>
              </w:rPr>
            </w:pPr>
            <w:r>
              <w:rPr>
                <w:rFonts w:ascii="Arial" w:hAnsi="Arial" w:cs="Arial"/>
                <w:b/>
                <w:szCs w:val="24"/>
              </w:rPr>
              <w:t>HR services</w:t>
            </w:r>
            <w:r w:rsidR="00D26C04">
              <w:rPr>
                <w:rFonts w:ascii="Arial" w:hAnsi="Arial" w:cs="Arial"/>
                <w:b/>
                <w:szCs w:val="24"/>
              </w:rPr>
              <w:t xml:space="preserve"> u</w:t>
            </w:r>
            <w:r w:rsidR="00FC78BB">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56C2AC0F"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sidR="00C63070">
              <w:rPr>
                <w:rFonts w:ascii="Arial" w:hAnsi="Arial" w:cs="Arial"/>
                <w:szCs w:val="24"/>
                <w:lang w:val="en-GB"/>
              </w:rPr>
              <w:t>Human Resources (HR) services</w:t>
            </w:r>
            <w:r w:rsidR="00FC78BB">
              <w:rPr>
                <w:rFonts w:ascii="Arial" w:hAnsi="Arial" w:cs="Arial"/>
                <w:szCs w:val="24"/>
                <w:lang w:val="en-GB"/>
              </w:rPr>
              <w:t>.</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38FC6066" w14:textId="77777777" w:rsidR="00AA1065" w:rsidRDefault="00430A7C" w:rsidP="00AA1065">
            <w:pPr>
              <w:pStyle w:val="BodyText"/>
              <w:numPr>
                <w:ilvl w:val="0"/>
                <w:numId w:val="16"/>
              </w:numPr>
              <w:spacing w:after="120"/>
              <w:jc w:val="left"/>
              <w:rPr>
                <w:rFonts w:ascii="Arial" w:hAnsi="Arial" w:cs="Arial"/>
                <w:szCs w:val="24"/>
                <w:lang w:val="en-GB"/>
              </w:rPr>
            </w:pPr>
            <w:r>
              <w:rPr>
                <w:rFonts w:ascii="Arial" w:hAnsi="Arial" w:cs="Arial"/>
                <w:szCs w:val="24"/>
                <w:lang w:val="en-GB"/>
              </w:rPr>
              <w:t>The Authority has outstanding actions following an HR internal audit</w:t>
            </w:r>
            <w:r w:rsidR="00E73E9D">
              <w:rPr>
                <w:rFonts w:ascii="Arial" w:hAnsi="Arial" w:cs="Arial"/>
                <w:szCs w:val="24"/>
                <w:lang w:val="en-GB"/>
              </w:rPr>
              <w:t xml:space="preserve">. </w:t>
            </w:r>
          </w:p>
          <w:p w14:paraId="0E222265" w14:textId="58791A8C" w:rsidR="00E10316" w:rsidRPr="0015183B" w:rsidRDefault="00E73E9D" w:rsidP="00AA1065">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Work is now taking place to improve the HR service. </w:t>
            </w:r>
            <w:r w:rsidR="00430A7C">
              <w:rPr>
                <w:rFonts w:ascii="Arial" w:hAnsi="Arial" w:cs="Arial"/>
                <w:szCs w:val="24"/>
                <w:lang w:val="en-GB"/>
              </w:rPr>
              <w:t xml:space="preserve">HR consultants will be appointed to deliver essential support and </w:t>
            </w:r>
            <w:r>
              <w:rPr>
                <w:rFonts w:ascii="Arial" w:hAnsi="Arial" w:cs="Arial"/>
                <w:szCs w:val="24"/>
                <w:lang w:val="en-GB"/>
              </w:rPr>
              <w:t>meet the</w:t>
            </w:r>
            <w:r w:rsidR="00430A7C">
              <w:rPr>
                <w:rFonts w:ascii="Arial" w:hAnsi="Arial" w:cs="Arial"/>
                <w:szCs w:val="24"/>
                <w:lang w:val="en-GB"/>
              </w:rPr>
              <w:t xml:space="preserve"> audit requirements whilst a </w:t>
            </w:r>
            <w:r w:rsidR="00D33AAB">
              <w:rPr>
                <w:rFonts w:ascii="Arial" w:hAnsi="Arial" w:cs="Arial"/>
                <w:szCs w:val="24"/>
                <w:lang w:val="en-GB"/>
              </w:rPr>
              <w:t>longer-term</w:t>
            </w:r>
            <w:r w:rsidR="00430A7C">
              <w:rPr>
                <w:rFonts w:ascii="Arial" w:hAnsi="Arial" w:cs="Arial"/>
                <w:szCs w:val="24"/>
                <w:lang w:val="en-GB"/>
              </w:rPr>
              <w:t xml:space="preserve"> solution is sought.</w:t>
            </w:r>
            <w:r w:rsidR="00E10316" w:rsidRPr="0015183B">
              <w:rPr>
                <w:rFonts w:ascii="Arial" w:hAnsi="Arial" w:cs="Arial"/>
                <w:szCs w:val="24"/>
                <w:lang w:val="en-GB"/>
              </w:rPr>
              <w:t xml:space="preserve">  </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55CF12FC" w:rsidR="00EE707C" w:rsidRPr="005C52DC" w:rsidRDefault="00C63070"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Note this report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7ACC39B6" w14:textId="07CEE60B" w:rsidR="00300F4B" w:rsidRPr="00300F4B" w:rsidRDefault="00300F4B" w:rsidP="00300F4B">
      <w:pPr>
        <w:autoSpaceDE w:val="0"/>
        <w:autoSpaceDN w:val="0"/>
        <w:adjustRightInd w:val="0"/>
        <w:spacing w:after="120"/>
        <w:ind w:left="170"/>
        <w:rPr>
          <w:rFonts w:ascii="Arial" w:hAnsi="Arial" w:cs="Arial"/>
        </w:rPr>
      </w:pPr>
      <w:r w:rsidRPr="00300F4B">
        <w:rPr>
          <w:rFonts w:ascii="Arial" w:hAnsi="Arial" w:cs="Arial"/>
        </w:rPr>
        <w:t>The Authority has a small establishment of 40 employees, including front line operational staff. The organisation’s HR priorities are to:</w:t>
      </w:r>
    </w:p>
    <w:p w14:paraId="4A3FC148" w14:textId="321F6E03" w:rsidR="0080428C" w:rsidRPr="00920442" w:rsidRDefault="004373DF" w:rsidP="00920442">
      <w:pPr>
        <w:pStyle w:val="ListParagraph"/>
        <w:numPr>
          <w:ilvl w:val="0"/>
          <w:numId w:val="16"/>
        </w:numPr>
        <w:autoSpaceDE w:val="0"/>
        <w:autoSpaceDN w:val="0"/>
        <w:adjustRightInd w:val="0"/>
        <w:spacing w:after="120"/>
        <w:rPr>
          <w:sz w:val="24"/>
          <w:szCs w:val="28"/>
          <w:lang w:eastAsia="en-GB"/>
        </w:rPr>
      </w:pPr>
      <w:r w:rsidRPr="00920442">
        <w:rPr>
          <w:sz w:val="24"/>
          <w:szCs w:val="28"/>
          <w:lang w:eastAsia="en-GB"/>
        </w:rPr>
        <w:t>manage the employment market risk by maximising retention,</w:t>
      </w:r>
    </w:p>
    <w:p w14:paraId="2EBA6E2C" w14:textId="77777777" w:rsidR="0080428C" w:rsidRPr="00920442" w:rsidRDefault="004373DF" w:rsidP="00920442">
      <w:pPr>
        <w:pStyle w:val="ListParagraph"/>
        <w:numPr>
          <w:ilvl w:val="0"/>
          <w:numId w:val="16"/>
        </w:numPr>
        <w:autoSpaceDE w:val="0"/>
        <w:autoSpaceDN w:val="0"/>
        <w:adjustRightInd w:val="0"/>
        <w:spacing w:after="120"/>
        <w:rPr>
          <w:sz w:val="24"/>
          <w:szCs w:val="28"/>
          <w:lang w:eastAsia="en-GB"/>
        </w:rPr>
      </w:pPr>
      <w:r w:rsidRPr="00920442">
        <w:rPr>
          <w:sz w:val="24"/>
          <w:szCs w:val="28"/>
          <w:lang w:eastAsia="en-GB"/>
        </w:rPr>
        <w:t xml:space="preserve">embed the organisation’s culture and values, and </w:t>
      </w:r>
    </w:p>
    <w:p w14:paraId="4C656C17" w14:textId="52C01A36" w:rsidR="00531BBC" w:rsidRPr="00920442" w:rsidRDefault="004373DF" w:rsidP="00920442">
      <w:pPr>
        <w:pStyle w:val="ListParagraph"/>
        <w:numPr>
          <w:ilvl w:val="0"/>
          <w:numId w:val="16"/>
        </w:numPr>
        <w:autoSpaceDE w:val="0"/>
        <w:autoSpaceDN w:val="0"/>
        <w:adjustRightInd w:val="0"/>
        <w:spacing w:after="120"/>
        <w:rPr>
          <w:sz w:val="24"/>
          <w:szCs w:val="28"/>
          <w:lang w:eastAsia="en-GB"/>
        </w:rPr>
      </w:pPr>
      <w:r w:rsidRPr="00920442">
        <w:rPr>
          <w:sz w:val="24"/>
          <w:szCs w:val="28"/>
          <w:lang w:eastAsia="en-GB"/>
        </w:rPr>
        <w:t>obtain external advice on how to further develop the service.</w:t>
      </w:r>
    </w:p>
    <w:p w14:paraId="5A4A0CD4" w14:textId="77777777" w:rsidR="00A77DA8" w:rsidRDefault="00667A37" w:rsidP="00D7602D">
      <w:pPr>
        <w:autoSpaceDE w:val="0"/>
        <w:autoSpaceDN w:val="0"/>
        <w:adjustRightInd w:val="0"/>
        <w:spacing w:after="120"/>
        <w:ind w:left="170"/>
        <w:rPr>
          <w:rFonts w:ascii="Arial" w:hAnsi="Arial" w:cs="Arial"/>
        </w:rPr>
      </w:pPr>
      <w:r w:rsidRPr="00667A37">
        <w:rPr>
          <w:rFonts w:ascii="Arial" w:hAnsi="Arial" w:cs="Arial"/>
        </w:rPr>
        <w:t xml:space="preserve">HR work was historically delivered in-house by the finance and performance team, with specialist ad-hoc support from external HR advisors. In 2019 a full-time HR Manager was recruited to support the organisation’s development and reported to the Finance Director with additional support and direction from the Managing Director. Shortly after the recruitment, the HR workload increased dramatically because of the pandemic and some complex HR case work. </w:t>
      </w:r>
    </w:p>
    <w:p w14:paraId="1E96E10F" w14:textId="77777777" w:rsidR="00A77DA8" w:rsidRDefault="00667A37" w:rsidP="00D7602D">
      <w:pPr>
        <w:autoSpaceDE w:val="0"/>
        <w:autoSpaceDN w:val="0"/>
        <w:adjustRightInd w:val="0"/>
        <w:spacing w:after="120"/>
        <w:ind w:left="170"/>
        <w:rPr>
          <w:rFonts w:ascii="Arial" w:hAnsi="Arial" w:cs="Arial"/>
        </w:rPr>
      </w:pPr>
      <w:r w:rsidRPr="00667A37">
        <w:rPr>
          <w:rFonts w:ascii="Arial" w:hAnsi="Arial" w:cs="Arial"/>
        </w:rPr>
        <w:t xml:space="preserve">The HR service was given ‘Limited Assurance’ status in an internal audit last December. Key actions included: </w:t>
      </w:r>
    </w:p>
    <w:p w14:paraId="5776A8D1" w14:textId="523A6A32"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Review</w:t>
      </w:r>
      <w:r w:rsidR="008A21A7">
        <w:rPr>
          <w:sz w:val="24"/>
          <w:szCs w:val="28"/>
          <w:lang w:eastAsia="en-GB"/>
        </w:rPr>
        <w:t>ing</w:t>
      </w:r>
      <w:r w:rsidRPr="00A77DA8">
        <w:rPr>
          <w:sz w:val="24"/>
          <w:szCs w:val="28"/>
          <w:lang w:eastAsia="en-GB"/>
        </w:rPr>
        <w:t xml:space="preserve"> and updat</w:t>
      </w:r>
      <w:r w:rsidR="008A21A7">
        <w:rPr>
          <w:sz w:val="24"/>
          <w:szCs w:val="28"/>
          <w:lang w:eastAsia="en-GB"/>
        </w:rPr>
        <w:t>ing</w:t>
      </w:r>
      <w:r w:rsidRPr="00A77DA8">
        <w:rPr>
          <w:sz w:val="24"/>
          <w:szCs w:val="28"/>
          <w:lang w:eastAsia="en-GB"/>
        </w:rPr>
        <w:t xml:space="preserve"> policies</w:t>
      </w:r>
    </w:p>
    <w:p w14:paraId="0C4CBCA0"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Undertaking relevant DBS checks</w:t>
      </w:r>
    </w:p>
    <w:p w14:paraId="7E84D350"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Getting employee files fully up to date and complete</w:t>
      </w:r>
    </w:p>
    <w:p w14:paraId="32CA21A5"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Delivering recruitment training to staff</w:t>
      </w:r>
    </w:p>
    <w:p w14:paraId="1C8852BA"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Creating a checklist for new starters</w:t>
      </w:r>
    </w:p>
    <w:p w14:paraId="3CC81223"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 xml:space="preserve">Addressing a backlog of email requests for HR support </w:t>
      </w:r>
    </w:p>
    <w:p w14:paraId="7008588F" w14:textId="15C914DC" w:rsidR="00AD5E2F" w:rsidRDefault="00667A37" w:rsidP="00D7602D">
      <w:pPr>
        <w:autoSpaceDE w:val="0"/>
        <w:autoSpaceDN w:val="0"/>
        <w:adjustRightInd w:val="0"/>
        <w:spacing w:after="120"/>
        <w:ind w:left="170"/>
        <w:rPr>
          <w:rFonts w:ascii="Arial" w:hAnsi="Arial" w:cs="Arial"/>
        </w:rPr>
      </w:pPr>
      <w:r w:rsidRPr="00667A37">
        <w:rPr>
          <w:rFonts w:ascii="Arial" w:hAnsi="Arial" w:cs="Arial"/>
        </w:rPr>
        <w:t xml:space="preserve">An action plan was developed </w:t>
      </w:r>
      <w:r w:rsidR="00ED2EF9">
        <w:rPr>
          <w:rFonts w:ascii="Arial" w:hAnsi="Arial" w:cs="Arial"/>
        </w:rPr>
        <w:t>but only</w:t>
      </w:r>
      <w:r w:rsidRPr="00667A37">
        <w:rPr>
          <w:rFonts w:ascii="Arial" w:hAnsi="Arial" w:cs="Arial"/>
        </w:rPr>
        <w:t xml:space="preserve"> partially implemented</w:t>
      </w:r>
      <w:r w:rsidR="00ED2EF9">
        <w:rPr>
          <w:rFonts w:ascii="Arial" w:hAnsi="Arial" w:cs="Arial"/>
        </w:rPr>
        <w:t xml:space="preserve"> (3</w:t>
      </w:r>
      <w:r w:rsidR="009813B8">
        <w:rPr>
          <w:rFonts w:ascii="Arial" w:hAnsi="Arial" w:cs="Arial"/>
        </w:rPr>
        <w:t>6</w:t>
      </w:r>
      <w:r w:rsidR="00ED2EF9">
        <w:rPr>
          <w:rFonts w:ascii="Arial" w:hAnsi="Arial" w:cs="Arial"/>
        </w:rPr>
        <w:t xml:space="preserve">% of actions are </w:t>
      </w:r>
      <w:r w:rsidR="004C3FA3">
        <w:rPr>
          <w:rFonts w:ascii="Arial" w:hAnsi="Arial" w:cs="Arial"/>
        </w:rPr>
        <w:t xml:space="preserve">now </w:t>
      </w:r>
      <w:r w:rsidR="00ED2EF9">
        <w:rPr>
          <w:rFonts w:ascii="Arial" w:hAnsi="Arial" w:cs="Arial"/>
        </w:rPr>
        <w:t>fully completed)</w:t>
      </w:r>
      <w:r w:rsidRPr="00667A37">
        <w:rPr>
          <w:rFonts w:ascii="Arial" w:hAnsi="Arial" w:cs="Arial"/>
        </w:rPr>
        <w:t xml:space="preserve">. </w:t>
      </w:r>
      <w:r w:rsidR="007119AF">
        <w:rPr>
          <w:rFonts w:ascii="Arial" w:hAnsi="Arial" w:cs="Arial"/>
        </w:rPr>
        <w:t>R</w:t>
      </w:r>
      <w:r w:rsidR="00873251">
        <w:rPr>
          <w:rFonts w:ascii="Arial" w:hAnsi="Arial" w:cs="Arial"/>
        </w:rPr>
        <w:t>esource</w:t>
      </w:r>
      <w:r w:rsidR="00A2560F">
        <w:rPr>
          <w:rFonts w:ascii="Arial" w:hAnsi="Arial" w:cs="Arial"/>
        </w:rPr>
        <w:t xml:space="preserve"> is needed</w:t>
      </w:r>
      <w:r w:rsidR="00F3108E">
        <w:rPr>
          <w:rFonts w:ascii="Arial" w:hAnsi="Arial" w:cs="Arial"/>
        </w:rPr>
        <w:t xml:space="preserve"> to </w:t>
      </w:r>
      <w:r w:rsidR="000118F2">
        <w:rPr>
          <w:rFonts w:ascii="Arial" w:hAnsi="Arial" w:cs="Arial"/>
        </w:rPr>
        <w:t>provide immediate HR support</w:t>
      </w:r>
      <w:r w:rsidR="00F81498">
        <w:rPr>
          <w:rFonts w:ascii="Arial" w:hAnsi="Arial" w:cs="Arial"/>
        </w:rPr>
        <w:t>,</w:t>
      </w:r>
      <w:r w:rsidR="000118F2">
        <w:rPr>
          <w:rFonts w:ascii="Arial" w:hAnsi="Arial" w:cs="Arial"/>
        </w:rPr>
        <w:t xml:space="preserve"> </w:t>
      </w:r>
      <w:r w:rsidR="00F81498">
        <w:rPr>
          <w:rFonts w:ascii="Arial" w:hAnsi="Arial" w:cs="Arial"/>
        </w:rPr>
        <w:t xml:space="preserve">address the audit actions, </w:t>
      </w:r>
      <w:r w:rsidR="000118F2">
        <w:rPr>
          <w:rFonts w:ascii="Arial" w:hAnsi="Arial" w:cs="Arial"/>
        </w:rPr>
        <w:t xml:space="preserve">and develop a </w:t>
      </w:r>
      <w:r w:rsidR="002F6120">
        <w:rPr>
          <w:rFonts w:ascii="Arial" w:hAnsi="Arial" w:cs="Arial"/>
        </w:rPr>
        <w:t>longer-term</w:t>
      </w:r>
      <w:r w:rsidR="000118F2">
        <w:rPr>
          <w:rFonts w:ascii="Arial" w:hAnsi="Arial" w:cs="Arial"/>
        </w:rPr>
        <w:t xml:space="preserve"> service improvement plan.</w:t>
      </w:r>
      <w:r w:rsidR="00612839">
        <w:rPr>
          <w:rFonts w:ascii="Arial" w:hAnsi="Arial" w:cs="Arial"/>
        </w:rPr>
        <w:t xml:space="preserve"> </w:t>
      </w:r>
      <w:r w:rsidR="004E0747">
        <w:rPr>
          <w:rFonts w:ascii="Arial" w:hAnsi="Arial" w:cs="Arial"/>
        </w:rPr>
        <w:t xml:space="preserve"> </w:t>
      </w:r>
      <w:r w:rsidR="00F22FE8">
        <w:rPr>
          <w:rFonts w:ascii="Arial" w:hAnsi="Arial" w:cs="Arial"/>
        </w:rPr>
        <w:t xml:space="preserve">Accountability for HR Services has transferred to the </w:t>
      </w:r>
      <w:r w:rsidRPr="00667A37">
        <w:rPr>
          <w:rFonts w:ascii="Arial" w:hAnsi="Arial" w:cs="Arial"/>
        </w:rPr>
        <w:t xml:space="preserve">Head of Service for a </w:t>
      </w:r>
      <w:r w:rsidR="002F6120" w:rsidRPr="00667A37">
        <w:rPr>
          <w:rFonts w:ascii="Arial" w:hAnsi="Arial" w:cs="Arial"/>
        </w:rPr>
        <w:t>six-month</w:t>
      </w:r>
      <w:r w:rsidRPr="00667A37">
        <w:rPr>
          <w:rFonts w:ascii="Arial" w:hAnsi="Arial" w:cs="Arial"/>
        </w:rPr>
        <w:t xml:space="preserve"> period between March and September. </w:t>
      </w:r>
    </w:p>
    <w:p w14:paraId="69F09455" w14:textId="4635ADB6" w:rsidR="002D7DA9" w:rsidRPr="002D7DA9" w:rsidRDefault="00CE2184" w:rsidP="00D7602D">
      <w:pPr>
        <w:numPr>
          <w:ilvl w:val="0"/>
          <w:numId w:val="2"/>
        </w:numPr>
        <w:autoSpaceDE w:val="0"/>
        <w:autoSpaceDN w:val="0"/>
        <w:adjustRightInd w:val="0"/>
        <w:spacing w:after="120"/>
        <w:rPr>
          <w:rFonts w:ascii="Arial" w:hAnsi="Arial" w:cs="Arial"/>
          <w:szCs w:val="24"/>
          <w:lang w:eastAsia="en-GB"/>
        </w:rPr>
      </w:pPr>
      <w:r>
        <w:rPr>
          <w:rFonts w:ascii="Arial" w:hAnsi="Arial" w:cs="Arial"/>
          <w:b/>
          <w:szCs w:val="24"/>
          <w:lang w:eastAsia="en-GB"/>
        </w:rPr>
        <w:t>Approach</w:t>
      </w:r>
    </w:p>
    <w:p w14:paraId="1FEEE61E" w14:textId="77777777" w:rsidR="00AD5E2F" w:rsidRDefault="00AD5E2F" w:rsidP="005A2F8B">
      <w:pPr>
        <w:autoSpaceDE w:val="0"/>
        <w:autoSpaceDN w:val="0"/>
        <w:adjustRightInd w:val="0"/>
        <w:spacing w:after="120"/>
        <w:ind w:left="170"/>
        <w:rPr>
          <w:rFonts w:ascii="Arial" w:hAnsi="Arial" w:cs="Arial"/>
          <w:szCs w:val="24"/>
          <w:lang w:eastAsia="en-GB"/>
        </w:rPr>
      </w:pPr>
      <w:r w:rsidRPr="00AD5E2F">
        <w:rPr>
          <w:rFonts w:ascii="Arial" w:hAnsi="Arial" w:cs="Arial"/>
          <w:szCs w:val="24"/>
          <w:lang w:eastAsia="en-GB"/>
        </w:rPr>
        <w:t xml:space="preserve">In the immediate term, an HR consultancy will be commissioned to: </w:t>
      </w:r>
    </w:p>
    <w:p w14:paraId="0BFB7F78" w14:textId="5B58229D" w:rsidR="00AD5E2F" w:rsidRPr="00AD5E2F" w:rsidRDefault="00AD5E2F" w:rsidP="00AD5E2F">
      <w:pPr>
        <w:pStyle w:val="ListParagraph"/>
        <w:numPr>
          <w:ilvl w:val="0"/>
          <w:numId w:val="16"/>
        </w:numPr>
        <w:autoSpaceDE w:val="0"/>
        <w:autoSpaceDN w:val="0"/>
        <w:adjustRightInd w:val="0"/>
        <w:spacing w:after="120"/>
        <w:rPr>
          <w:sz w:val="24"/>
          <w:szCs w:val="28"/>
          <w:lang w:eastAsia="en-GB"/>
        </w:rPr>
      </w:pPr>
      <w:r w:rsidRPr="00AD5E2F">
        <w:rPr>
          <w:sz w:val="24"/>
          <w:szCs w:val="28"/>
          <w:lang w:eastAsia="en-GB"/>
        </w:rPr>
        <w:t xml:space="preserve">provide specialist HR advice to all employees, </w:t>
      </w:r>
    </w:p>
    <w:p w14:paraId="5C290E86" w14:textId="566427CF" w:rsidR="00AD5E2F" w:rsidRPr="00AD5E2F" w:rsidRDefault="00AD5E2F" w:rsidP="00AD5E2F">
      <w:pPr>
        <w:pStyle w:val="ListParagraph"/>
        <w:numPr>
          <w:ilvl w:val="0"/>
          <w:numId w:val="16"/>
        </w:numPr>
        <w:autoSpaceDE w:val="0"/>
        <w:autoSpaceDN w:val="0"/>
        <w:adjustRightInd w:val="0"/>
        <w:spacing w:after="120"/>
        <w:rPr>
          <w:sz w:val="24"/>
          <w:szCs w:val="28"/>
          <w:lang w:eastAsia="en-GB"/>
        </w:rPr>
      </w:pPr>
      <w:r w:rsidRPr="00AD5E2F">
        <w:rPr>
          <w:sz w:val="24"/>
          <w:szCs w:val="28"/>
          <w:lang w:eastAsia="en-GB"/>
        </w:rPr>
        <w:t xml:space="preserve">deliver HR specialist elements of business-critical services, e.g. recruitment, and </w:t>
      </w:r>
    </w:p>
    <w:p w14:paraId="7AD727A0" w14:textId="070B7CDE" w:rsidR="00AD5E2F" w:rsidRPr="00AD5E2F" w:rsidRDefault="00AD5E2F" w:rsidP="00AD5E2F">
      <w:pPr>
        <w:pStyle w:val="ListParagraph"/>
        <w:numPr>
          <w:ilvl w:val="0"/>
          <w:numId w:val="16"/>
        </w:numPr>
        <w:autoSpaceDE w:val="0"/>
        <w:autoSpaceDN w:val="0"/>
        <w:adjustRightInd w:val="0"/>
        <w:spacing w:after="120"/>
        <w:rPr>
          <w:sz w:val="24"/>
          <w:szCs w:val="28"/>
          <w:lang w:eastAsia="en-GB"/>
        </w:rPr>
      </w:pPr>
      <w:r w:rsidRPr="00AD5E2F">
        <w:rPr>
          <w:sz w:val="24"/>
          <w:szCs w:val="28"/>
          <w:lang w:eastAsia="en-GB"/>
        </w:rPr>
        <w:lastRenderedPageBreak/>
        <w:t xml:space="preserve">complete critical audit actions. </w:t>
      </w:r>
    </w:p>
    <w:p w14:paraId="592EAFBF" w14:textId="0CBA30FB" w:rsidR="00AD5E2F" w:rsidRDefault="00AD5E2F" w:rsidP="005A2F8B">
      <w:pPr>
        <w:autoSpaceDE w:val="0"/>
        <w:autoSpaceDN w:val="0"/>
        <w:adjustRightInd w:val="0"/>
        <w:spacing w:after="120"/>
        <w:ind w:left="170"/>
        <w:rPr>
          <w:rFonts w:ascii="Arial" w:hAnsi="Arial" w:cs="Arial"/>
          <w:szCs w:val="24"/>
          <w:lang w:eastAsia="en-GB"/>
        </w:rPr>
      </w:pPr>
      <w:r w:rsidRPr="00AD5E2F">
        <w:rPr>
          <w:rFonts w:ascii="Arial" w:hAnsi="Arial" w:cs="Arial"/>
          <w:szCs w:val="24"/>
          <w:lang w:eastAsia="en-GB"/>
        </w:rPr>
        <w:t xml:space="preserve">This work will last between three and six months, and during this time an external review of the Authority’s HR services will also be commissioned. The review will determine the level of work required to deliver </w:t>
      </w:r>
      <w:r w:rsidR="00AF3C7C">
        <w:rPr>
          <w:rFonts w:ascii="Arial" w:hAnsi="Arial" w:cs="Arial"/>
          <w:szCs w:val="24"/>
          <w:lang w:eastAsia="en-GB"/>
        </w:rPr>
        <w:t xml:space="preserve">against </w:t>
      </w:r>
      <w:r w:rsidRPr="00AD5E2F">
        <w:rPr>
          <w:rFonts w:ascii="Arial" w:hAnsi="Arial" w:cs="Arial"/>
          <w:szCs w:val="24"/>
          <w:lang w:eastAsia="en-GB"/>
        </w:rPr>
        <w:t xml:space="preserve">the </w:t>
      </w:r>
      <w:r w:rsidR="00AF3C7C">
        <w:rPr>
          <w:rFonts w:ascii="Arial" w:hAnsi="Arial" w:cs="Arial"/>
          <w:szCs w:val="24"/>
          <w:lang w:eastAsia="en-GB"/>
        </w:rPr>
        <w:t xml:space="preserve">organisation’s </w:t>
      </w:r>
      <w:r w:rsidRPr="00AD5E2F">
        <w:rPr>
          <w:rFonts w:ascii="Arial" w:hAnsi="Arial" w:cs="Arial"/>
          <w:szCs w:val="24"/>
          <w:lang w:eastAsia="en-GB"/>
        </w:rPr>
        <w:t xml:space="preserve">HR </w:t>
      </w:r>
      <w:r w:rsidR="00AF3C7C">
        <w:rPr>
          <w:rFonts w:ascii="Arial" w:hAnsi="Arial" w:cs="Arial"/>
          <w:szCs w:val="24"/>
          <w:lang w:eastAsia="en-GB"/>
        </w:rPr>
        <w:t>prioritie</w:t>
      </w:r>
      <w:r w:rsidR="00306B8F">
        <w:rPr>
          <w:rFonts w:ascii="Arial" w:hAnsi="Arial" w:cs="Arial"/>
          <w:szCs w:val="24"/>
          <w:lang w:eastAsia="en-GB"/>
        </w:rPr>
        <w:t>s</w:t>
      </w:r>
      <w:r w:rsidRPr="00AD5E2F">
        <w:rPr>
          <w:rFonts w:ascii="Arial" w:hAnsi="Arial" w:cs="Arial"/>
          <w:szCs w:val="24"/>
          <w:lang w:eastAsia="en-GB"/>
        </w:rPr>
        <w:t xml:space="preserve"> and meet future needs. It will also identify options for HR service delivery. </w:t>
      </w:r>
    </w:p>
    <w:p w14:paraId="1DACD496" w14:textId="5F987CD0" w:rsidR="005A2F8B" w:rsidRDefault="004A165D" w:rsidP="00050D91">
      <w:pPr>
        <w:autoSpaceDE w:val="0"/>
        <w:autoSpaceDN w:val="0"/>
        <w:adjustRightInd w:val="0"/>
        <w:spacing w:after="120"/>
        <w:ind w:left="170"/>
        <w:rPr>
          <w:rFonts w:ascii="Arial" w:hAnsi="Arial" w:cs="Arial"/>
          <w:szCs w:val="24"/>
          <w:lang w:eastAsia="en-GB"/>
        </w:rPr>
      </w:pPr>
      <w:r>
        <w:rPr>
          <w:rFonts w:ascii="Arial" w:hAnsi="Arial" w:cs="Arial"/>
          <w:szCs w:val="24"/>
          <w:lang w:eastAsia="en-GB"/>
        </w:rPr>
        <w:t>Timescales for the work:</w:t>
      </w:r>
    </w:p>
    <w:tbl>
      <w:tblPr>
        <w:tblStyle w:val="TableGrid"/>
        <w:tblW w:w="0" w:type="auto"/>
        <w:tblInd w:w="170" w:type="dxa"/>
        <w:tblLook w:val="04A0" w:firstRow="1" w:lastRow="0" w:firstColumn="1" w:lastColumn="0" w:noHBand="0" w:noVBand="1"/>
      </w:tblPr>
      <w:tblGrid>
        <w:gridCol w:w="1810"/>
        <w:gridCol w:w="8477"/>
      </w:tblGrid>
      <w:tr w:rsidR="00050D91" w14:paraId="5B812032" w14:textId="77777777" w:rsidTr="00D15713">
        <w:tc>
          <w:tcPr>
            <w:tcW w:w="1810" w:type="dxa"/>
          </w:tcPr>
          <w:p w14:paraId="47892D86" w14:textId="51206B86" w:rsidR="00050D91" w:rsidRPr="00651825" w:rsidRDefault="00651825" w:rsidP="00050D91">
            <w:pPr>
              <w:autoSpaceDE w:val="0"/>
              <w:autoSpaceDN w:val="0"/>
              <w:adjustRightInd w:val="0"/>
              <w:spacing w:before="40" w:after="40"/>
              <w:rPr>
                <w:rFonts w:ascii="Arial" w:hAnsi="Arial" w:cs="Arial"/>
                <w:b/>
                <w:bCs/>
                <w:sz w:val="22"/>
                <w:szCs w:val="22"/>
                <w:lang w:eastAsia="en-GB"/>
              </w:rPr>
            </w:pPr>
            <w:r w:rsidRPr="00651825">
              <w:rPr>
                <w:rFonts w:ascii="Arial" w:hAnsi="Arial" w:cs="Arial"/>
                <w:b/>
                <w:bCs/>
                <w:sz w:val="22"/>
                <w:szCs w:val="22"/>
                <w:lang w:eastAsia="en-GB"/>
              </w:rPr>
              <w:t>Date</w:t>
            </w:r>
          </w:p>
        </w:tc>
        <w:tc>
          <w:tcPr>
            <w:tcW w:w="8477" w:type="dxa"/>
          </w:tcPr>
          <w:p w14:paraId="74A43B3A" w14:textId="44C08A22" w:rsidR="00050D91" w:rsidRPr="00651825" w:rsidRDefault="00651825" w:rsidP="00050D91">
            <w:pPr>
              <w:autoSpaceDE w:val="0"/>
              <w:autoSpaceDN w:val="0"/>
              <w:adjustRightInd w:val="0"/>
              <w:spacing w:before="40" w:after="40"/>
              <w:rPr>
                <w:rFonts w:ascii="Arial" w:hAnsi="Arial" w:cs="Arial"/>
                <w:b/>
                <w:bCs/>
                <w:sz w:val="22"/>
                <w:szCs w:val="22"/>
                <w:lang w:eastAsia="en-GB"/>
              </w:rPr>
            </w:pPr>
            <w:r w:rsidRPr="00651825">
              <w:rPr>
                <w:rFonts w:ascii="Arial" w:hAnsi="Arial" w:cs="Arial"/>
                <w:b/>
                <w:bCs/>
                <w:sz w:val="22"/>
                <w:szCs w:val="22"/>
                <w:lang w:eastAsia="en-GB"/>
              </w:rPr>
              <w:t>Work completed</w:t>
            </w:r>
          </w:p>
        </w:tc>
      </w:tr>
      <w:tr w:rsidR="00050D91" w14:paraId="3BDC108C" w14:textId="77777777" w:rsidTr="00D15713">
        <w:tc>
          <w:tcPr>
            <w:tcW w:w="1810" w:type="dxa"/>
          </w:tcPr>
          <w:p w14:paraId="03BD0F62" w14:textId="6A46460F" w:rsidR="00050D91" w:rsidRPr="00651825" w:rsidRDefault="009E60AA"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Jun</w:t>
            </w:r>
            <w:r w:rsidR="00D15713">
              <w:rPr>
                <w:rFonts w:ascii="Arial" w:hAnsi="Arial" w:cs="Arial"/>
                <w:sz w:val="22"/>
                <w:szCs w:val="22"/>
                <w:lang w:eastAsia="en-GB"/>
              </w:rPr>
              <w:t xml:space="preserve"> 2023</w:t>
            </w:r>
          </w:p>
        </w:tc>
        <w:tc>
          <w:tcPr>
            <w:tcW w:w="8477" w:type="dxa"/>
          </w:tcPr>
          <w:p w14:paraId="0703E7B0" w14:textId="27F7D8D6" w:rsidR="00050D91" w:rsidRPr="00651825" w:rsidRDefault="00780CC8"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HR advisors appointed</w:t>
            </w:r>
          </w:p>
        </w:tc>
      </w:tr>
      <w:tr w:rsidR="00050D91" w14:paraId="27BDD4BE" w14:textId="77777777" w:rsidTr="00D15713">
        <w:tc>
          <w:tcPr>
            <w:tcW w:w="1810" w:type="dxa"/>
          </w:tcPr>
          <w:p w14:paraId="04739AE3" w14:textId="4BB0B9C6" w:rsidR="00050D91" w:rsidRPr="00651825" w:rsidRDefault="00780CC8"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Sep 2023</w:t>
            </w:r>
          </w:p>
        </w:tc>
        <w:tc>
          <w:tcPr>
            <w:tcW w:w="8477" w:type="dxa"/>
          </w:tcPr>
          <w:p w14:paraId="6209A9A4" w14:textId="5712012F" w:rsidR="00050D91" w:rsidRPr="00651825" w:rsidRDefault="004E30A7"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 xml:space="preserve">Critical </w:t>
            </w:r>
            <w:r w:rsidR="00601E5E">
              <w:rPr>
                <w:rFonts w:ascii="Arial" w:hAnsi="Arial" w:cs="Arial"/>
                <w:sz w:val="22"/>
                <w:szCs w:val="22"/>
                <w:lang w:eastAsia="en-GB"/>
              </w:rPr>
              <w:t>outstanding audit</w:t>
            </w:r>
            <w:r w:rsidR="009C2A5C">
              <w:rPr>
                <w:rFonts w:ascii="Arial" w:hAnsi="Arial" w:cs="Arial"/>
                <w:sz w:val="22"/>
                <w:szCs w:val="22"/>
                <w:lang w:eastAsia="en-GB"/>
              </w:rPr>
              <w:t xml:space="preserve"> </w:t>
            </w:r>
            <w:r w:rsidR="002118A1">
              <w:rPr>
                <w:rFonts w:ascii="Arial" w:hAnsi="Arial" w:cs="Arial"/>
                <w:sz w:val="22"/>
                <w:szCs w:val="22"/>
                <w:lang w:eastAsia="en-GB"/>
              </w:rPr>
              <w:t>actions complete</w:t>
            </w:r>
            <w:r w:rsidR="00B004DA">
              <w:rPr>
                <w:rFonts w:ascii="Arial" w:hAnsi="Arial" w:cs="Arial"/>
                <w:sz w:val="22"/>
                <w:szCs w:val="22"/>
                <w:lang w:eastAsia="en-GB"/>
              </w:rPr>
              <w:t xml:space="preserve"> </w:t>
            </w:r>
            <w:r w:rsidR="006D1C4A">
              <w:rPr>
                <w:rFonts w:ascii="Arial" w:hAnsi="Arial" w:cs="Arial"/>
                <w:sz w:val="22"/>
                <w:szCs w:val="22"/>
                <w:lang w:eastAsia="en-GB"/>
              </w:rPr>
              <w:t>(</w:t>
            </w:r>
            <w:r w:rsidR="00B004DA">
              <w:rPr>
                <w:rFonts w:ascii="Arial" w:hAnsi="Arial" w:cs="Arial"/>
                <w:sz w:val="22"/>
                <w:szCs w:val="22"/>
                <w:lang w:eastAsia="en-GB"/>
              </w:rPr>
              <w:t>&gt;85% of total actions</w:t>
            </w:r>
            <w:r w:rsidR="006D1C4A">
              <w:rPr>
                <w:rFonts w:ascii="Arial" w:hAnsi="Arial" w:cs="Arial"/>
                <w:sz w:val="22"/>
                <w:szCs w:val="22"/>
                <w:lang w:eastAsia="en-GB"/>
              </w:rPr>
              <w:t>)</w:t>
            </w:r>
          </w:p>
        </w:tc>
      </w:tr>
      <w:tr w:rsidR="00050D91" w14:paraId="41B4A5FA" w14:textId="77777777" w:rsidTr="00D15713">
        <w:tc>
          <w:tcPr>
            <w:tcW w:w="1810" w:type="dxa"/>
          </w:tcPr>
          <w:p w14:paraId="38974089" w14:textId="11B22A5E" w:rsidR="00050D91" w:rsidRPr="00651825" w:rsidRDefault="006A7832"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Sep</w:t>
            </w:r>
            <w:r w:rsidR="002118A1">
              <w:rPr>
                <w:rFonts w:ascii="Arial" w:hAnsi="Arial" w:cs="Arial"/>
                <w:sz w:val="22"/>
                <w:szCs w:val="22"/>
                <w:lang w:eastAsia="en-GB"/>
              </w:rPr>
              <w:t xml:space="preserve"> 2023</w:t>
            </w:r>
          </w:p>
        </w:tc>
        <w:tc>
          <w:tcPr>
            <w:tcW w:w="8477" w:type="dxa"/>
          </w:tcPr>
          <w:p w14:paraId="1D939480" w14:textId="7BEF2374" w:rsidR="00050D91" w:rsidRPr="00651825" w:rsidRDefault="009B1CAA"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 xml:space="preserve">Review </w:t>
            </w:r>
            <w:r w:rsidR="00424C1D">
              <w:rPr>
                <w:rFonts w:ascii="Arial" w:hAnsi="Arial" w:cs="Arial"/>
                <w:sz w:val="22"/>
                <w:szCs w:val="22"/>
                <w:lang w:eastAsia="en-GB"/>
              </w:rPr>
              <w:t xml:space="preserve">of HR services </w:t>
            </w:r>
            <w:r w:rsidR="00D75F95">
              <w:rPr>
                <w:rFonts w:ascii="Arial" w:hAnsi="Arial" w:cs="Arial"/>
                <w:sz w:val="22"/>
                <w:szCs w:val="22"/>
                <w:lang w:eastAsia="en-GB"/>
              </w:rPr>
              <w:t>complete</w:t>
            </w:r>
          </w:p>
        </w:tc>
      </w:tr>
      <w:tr w:rsidR="00050D91" w14:paraId="456DC97C" w14:textId="77777777" w:rsidTr="00D15713">
        <w:tc>
          <w:tcPr>
            <w:tcW w:w="1810" w:type="dxa"/>
          </w:tcPr>
          <w:p w14:paraId="4A50397E" w14:textId="44D33330" w:rsidR="00050D91" w:rsidRPr="00651825" w:rsidRDefault="00D75F95"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31 Dec 2023</w:t>
            </w:r>
          </w:p>
        </w:tc>
        <w:tc>
          <w:tcPr>
            <w:tcW w:w="8477" w:type="dxa"/>
          </w:tcPr>
          <w:p w14:paraId="02BA702B" w14:textId="292BAAE2" w:rsidR="00050D91" w:rsidRPr="00651825" w:rsidRDefault="00D75F95" w:rsidP="00050D91">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 xml:space="preserve">All audit actions </w:t>
            </w:r>
            <w:r w:rsidR="000A0B9B">
              <w:rPr>
                <w:rFonts w:ascii="Arial" w:hAnsi="Arial" w:cs="Arial"/>
                <w:sz w:val="22"/>
                <w:szCs w:val="22"/>
                <w:lang w:eastAsia="en-GB"/>
              </w:rPr>
              <w:t xml:space="preserve">fully </w:t>
            </w:r>
            <w:r>
              <w:rPr>
                <w:rFonts w:ascii="Arial" w:hAnsi="Arial" w:cs="Arial"/>
                <w:sz w:val="22"/>
                <w:szCs w:val="22"/>
                <w:lang w:eastAsia="en-GB"/>
              </w:rPr>
              <w:t xml:space="preserve">complete and </w:t>
            </w:r>
            <w:r w:rsidR="00FB612D">
              <w:rPr>
                <w:rFonts w:ascii="Arial" w:hAnsi="Arial" w:cs="Arial"/>
                <w:sz w:val="22"/>
                <w:szCs w:val="22"/>
                <w:lang w:eastAsia="en-GB"/>
              </w:rPr>
              <w:t>long-term HR solutio</w:t>
            </w:r>
            <w:r w:rsidR="0039302C">
              <w:rPr>
                <w:rFonts w:ascii="Arial" w:hAnsi="Arial" w:cs="Arial"/>
                <w:sz w:val="22"/>
                <w:szCs w:val="22"/>
                <w:lang w:eastAsia="en-GB"/>
              </w:rPr>
              <w:t>n is being rolled-out</w:t>
            </w:r>
          </w:p>
        </w:tc>
      </w:tr>
    </w:tbl>
    <w:p w14:paraId="29DB258E" w14:textId="77777777" w:rsidR="00050D91" w:rsidRPr="00050D91" w:rsidRDefault="00050D91" w:rsidP="00050D91">
      <w:pPr>
        <w:autoSpaceDE w:val="0"/>
        <w:autoSpaceDN w:val="0"/>
        <w:adjustRightInd w:val="0"/>
        <w:spacing w:after="120"/>
        <w:ind w:left="170"/>
        <w:rPr>
          <w:rFonts w:ascii="Arial" w:hAnsi="Arial" w:cs="Arial"/>
          <w:szCs w:val="24"/>
          <w:lang w:eastAsia="en-GB"/>
        </w:rPr>
      </w:pP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022DCBDC" w14:textId="77777777" w:rsidR="00CB48CE" w:rsidRDefault="00CB48CE" w:rsidP="00B66CA3">
      <w:pPr>
        <w:autoSpaceDE w:val="0"/>
        <w:autoSpaceDN w:val="0"/>
        <w:adjustRightInd w:val="0"/>
        <w:spacing w:after="120"/>
        <w:ind w:left="170"/>
        <w:rPr>
          <w:rFonts w:ascii="Arial" w:hAnsi="Arial" w:cs="Arial"/>
          <w:szCs w:val="24"/>
          <w:lang w:eastAsia="en-GB"/>
        </w:rPr>
      </w:pPr>
      <w:r w:rsidRPr="00CB48CE">
        <w:rPr>
          <w:rFonts w:ascii="Arial" w:hAnsi="Arial" w:cs="Arial"/>
          <w:szCs w:val="24"/>
          <w:lang w:eastAsia="en-GB"/>
        </w:rPr>
        <w:t xml:space="preserve">The approach will initially require an intense period of work which will exceed the budget. The budgeted monthly cost of HR employees (the HR Manager plus a 0.6 FTE HR Coordinator – budgeted but not yet recruited) is £8.9k. The cost of a senior HR adviser for two days a week and an HR coordinator for three days a week from a consultancy is expected to be around £13.4k per month, an increase of 51% of the budgeted position. Over six months, this increase would be £27k. </w:t>
      </w:r>
    </w:p>
    <w:p w14:paraId="3D83AA3C" w14:textId="3000A978" w:rsidR="00CB48CE" w:rsidRDefault="00CB48CE" w:rsidP="00B66CA3">
      <w:pPr>
        <w:autoSpaceDE w:val="0"/>
        <w:autoSpaceDN w:val="0"/>
        <w:adjustRightInd w:val="0"/>
        <w:spacing w:after="120"/>
        <w:ind w:left="170"/>
        <w:rPr>
          <w:rFonts w:ascii="Arial" w:hAnsi="Arial" w:cs="Arial"/>
          <w:szCs w:val="24"/>
          <w:lang w:eastAsia="en-GB"/>
        </w:rPr>
      </w:pPr>
      <w:r w:rsidRPr="00CB48CE">
        <w:rPr>
          <w:rFonts w:ascii="Arial" w:hAnsi="Arial" w:cs="Arial"/>
          <w:szCs w:val="24"/>
          <w:lang w:eastAsia="en-GB"/>
        </w:rPr>
        <w:t>A lower cost option could be to directly recruit a fixed term full time HR Manager and part time HR Coordinator. It’s estimated that these costs would be 25% higher than the budgeted HR employee costs (£13k higher over six months) because the roles are interim rather than permanent. However, these employees would not come with the support of an HR consultancy</w:t>
      </w:r>
      <w:r w:rsidR="007119AF">
        <w:rPr>
          <w:rFonts w:ascii="Arial" w:hAnsi="Arial" w:cs="Arial"/>
          <w:szCs w:val="24"/>
          <w:lang w:eastAsia="en-GB"/>
        </w:rPr>
        <w:t xml:space="preserve">.  </w:t>
      </w:r>
      <w:r w:rsidRPr="00CB48CE">
        <w:rPr>
          <w:rFonts w:ascii="Arial" w:hAnsi="Arial" w:cs="Arial"/>
          <w:szCs w:val="24"/>
          <w:lang w:eastAsia="en-GB"/>
        </w:rPr>
        <w:t xml:space="preserve">Also, the senior management support requirement would be higher, as would the work needed to recruit, taking senior managers away from delivering their work programmes and leading to opportunity costs that far outweigh the difference in spend on HR support. </w:t>
      </w:r>
    </w:p>
    <w:p w14:paraId="082E44E3" w14:textId="2A834B69" w:rsidR="00CB48CE" w:rsidRDefault="00CB48CE" w:rsidP="00B66CA3">
      <w:pPr>
        <w:autoSpaceDE w:val="0"/>
        <w:autoSpaceDN w:val="0"/>
        <w:adjustRightInd w:val="0"/>
        <w:spacing w:after="120"/>
        <w:ind w:left="170"/>
        <w:rPr>
          <w:rFonts w:ascii="Arial" w:hAnsi="Arial" w:cs="Arial"/>
          <w:szCs w:val="24"/>
          <w:lang w:eastAsia="en-GB"/>
        </w:rPr>
      </w:pPr>
      <w:r w:rsidRPr="00CB48CE">
        <w:rPr>
          <w:rFonts w:ascii="Arial" w:hAnsi="Arial" w:cs="Arial"/>
          <w:szCs w:val="24"/>
          <w:lang w:eastAsia="en-GB"/>
        </w:rPr>
        <w:t xml:space="preserve">The external review into the future </w:t>
      </w:r>
      <w:r w:rsidR="00BE26B6">
        <w:rPr>
          <w:rFonts w:ascii="Arial" w:hAnsi="Arial" w:cs="Arial"/>
          <w:szCs w:val="24"/>
          <w:lang w:eastAsia="en-GB"/>
        </w:rPr>
        <w:t xml:space="preserve">of </w:t>
      </w:r>
      <w:r w:rsidRPr="00CB48CE">
        <w:rPr>
          <w:rFonts w:ascii="Arial" w:hAnsi="Arial" w:cs="Arial"/>
          <w:szCs w:val="24"/>
          <w:lang w:eastAsia="en-GB"/>
        </w:rPr>
        <w:t xml:space="preserve">HR will result in additional up-front cost. The specification of this work is under development. </w:t>
      </w:r>
    </w:p>
    <w:p w14:paraId="2712C5CC" w14:textId="7F26A253" w:rsidR="00CD4B46" w:rsidRDefault="00CB48CE" w:rsidP="00B66CA3">
      <w:pPr>
        <w:autoSpaceDE w:val="0"/>
        <w:autoSpaceDN w:val="0"/>
        <w:adjustRightInd w:val="0"/>
        <w:spacing w:after="120"/>
        <w:ind w:left="170"/>
        <w:rPr>
          <w:rFonts w:ascii="Arial" w:hAnsi="Arial" w:cs="Arial"/>
          <w:szCs w:val="24"/>
          <w:lang w:eastAsia="en-GB"/>
        </w:rPr>
      </w:pPr>
      <w:r w:rsidRPr="00CB48CE">
        <w:rPr>
          <w:rFonts w:ascii="Arial" w:hAnsi="Arial" w:cs="Arial"/>
          <w:szCs w:val="24"/>
          <w:lang w:eastAsia="en-GB"/>
        </w:rPr>
        <w:t>The longer-term financial implications are currently unclear but will be assessed as part of the external review.</w:t>
      </w:r>
      <w:r w:rsidR="002371BD">
        <w:rPr>
          <w:rFonts w:ascii="Arial" w:hAnsi="Arial" w:cs="Arial"/>
          <w:szCs w:val="24"/>
          <w:lang w:eastAsia="en-GB"/>
        </w:rPr>
        <w:t xml:space="preserve">   </w:t>
      </w:r>
    </w:p>
    <w:p w14:paraId="65B6BFA5" w14:textId="77777777"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4D878449" w14:textId="0F9745FA" w:rsidR="00CD4B46" w:rsidRDefault="00F016F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Employees of the Authority </w:t>
      </w:r>
      <w:r w:rsidR="000A6B99">
        <w:rPr>
          <w:rFonts w:ascii="Arial" w:hAnsi="Arial" w:cs="Arial"/>
          <w:bCs/>
          <w:szCs w:val="24"/>
          <w:lang w:eastAsia="en-GB"/>
        </w:rPr>
        <w:t xml:space="preserve">are currently </w:t>
      </w:r>
      <w:r>
        <w:rPr>
          <w:rFonts w:ascii="Arial" w:hAnsi="Arial" w:cs="Arial"/>
          <w:bCs/>
          <w:szCs w:val="24"/>
          <w:lang w:eastAsia="en-GB"/>
        </w:rPr>
        <w:t>receiv</w:t>
      </w:r>
      <w:r w:rsidR="000A6B99">
        <w:rPr>
          <w:rFonts w:ascii="Arial" w:hAnsi="Arial" w:cs="Arial"/>
          <w:bCs/>
          <w:szCs w:val="24"/>
          <w:lang w:eastAsia="en-GB"/>
        </w:rPr>
        <w:t>ing</w:t>
      </w:r>
      <w:r>
        <w:rPr>
          <w:rFonts w:ascii="Arial" w:hAnsi="Arial" w:cs="Arial"/>
          <w:bCs/>
          <w:szCs w:val="24"/>
          <w:lang w:eastAsia="en-GB"/>
        </w:rPr>
        <w:t xml:space="preserve"> a limited HR service </w:t>
      </w:r>
      <w:r w:rsidR="00956B43">
        <w:rPr>
          <w:rFonts w:ascii="Arial" w:hAnsi="Arial" w:cs="Arial"/>
          <w:bCs/>
          <w:szCs w:val="24"/>
          <w:lang w:eastAsia="en-GB"/>
        </w:rPr>
        <w:t xml:space="preserve">resulting in </w:t>
      </w:r>
      <w:r w:rsidR="00C54CBB">
        <w:rPr>
          <w:rFonts w:ascii="Arial" w:hAnsi="Arial" w:cs="Arial"/>
          <w:bCs/>
          <w:szCs w:val="24"/>
          <w:lang w:eastAsia="en-GB"/>
        </w:rPr>
        <w:t>delays to</w:t>
      </w:r>
      <w:r>
        <w:rPr>
          <w:rFonts w:ascii="Arial" w:hAnsi="Arial" w:cs="Arial"/>
          <w:bCs/>
          <w:szCs w:val="24"/>
          <w:lang w:eastAsia="en-GB"/>
        </w:rPr>
        <w:t xml:space="preserve"> essential functions such as recruitment and absence management reviews</w:t>
      </w:r>
      <w:r w:rsidR="00283E54">
        <w:rPr>
          <w:rFonts w:ascii="Arial" w:hAnsi="Arial" w:cs="Arial"/>
          <w:bCs/>
          <w:szCs w:val="24"/>
          <w:lang w:eastAsia="en-GB"/>
        </w:rPr>
        <w:t xml:space="preserve">, as well as </w:t>
      </w:r>
      <w:r w:rsidR="00C54CBB">
        <w:rPr>
          <w:rFonts w:ascii="Arial" w:hAnsi="Arial" w:cs="Arial"/>
          <w:bCs/>
          <w:szCs w:val="24"/>
          <w:lang w:eastAsia="en-GB"/>
        </w:rPr>
        <w:t xml:space="preserve">meeting </w:t>
      </w:r>
      <w:r w:rsidR="00283E54">
        <w:rPr>
          <w:rFonts w:ascii="Arial" w:hAnsi="Arial" w:cs="Arial"/>
          <w:bCs/>
          <w:szCs w:val="24"/>
          <w:lang w:eastAsia="en-GB"/>
        </w:rPr>
        <w:t>the audit requirements</w:t>
      </w:r>
      <w:r>
        <w:rPr>
          <w:rFonts w:ascii="Arial" w:hAnsi="Arial" w:cs="Arial"/>
          <w:bCs/>
          <w:szCs w:val="24"/>
          <w:lang w:eastAsia="en-GB"/>
        </w:rPr>
        <w:t>.</w:t>
      </w:r>
      <w:r w:rsidR="00C54CBB">
        <w:rPr>
          <w:rFonts w:ascii="Arial" w:hAnsi="Arial" w:cs="Arial"/>
          <w:bCs/>
          <w:szCs w:val="24"/>
          <w:lang w:eastAsia="en-GB"/>
        </w:rPr>
        <w:t xml:space="preserve"> </w:t>
      </w:r>
      <w:r w:rsidR="00CD4B46">
        <w:rPr>
          <w:rFonts w:ascii="Arial" w:hAnsi="Arial" w:cs="Arial"/>
          <w:bCs/>
          <w:szCs w:val="24"/>
          <w:lang w:eastAsia="en-GB"/>
        </w:rPr>
        <w:t xml:space="preserve">Appointing specialist HR advisors would ensure that </w:t>
      </w:r>
      <w:r w:rsidR="002371BD">
        <w:rPr>
          <w:rFonts w:ascii="Arial" w:hAnsi="Arial" w:cs="Arial"/>
          <w:bCs/>
          <w:szCs w:val="24"/>
          <w:lang w:eastAsia="en-GB"/>
        </w:rPr>
        <w:t>staff receive the level of HR support they need to deliver their roles effectively whil</w:t>
      </w:r>
      <w:r w:rsidR="00283E54">
        <w:rPr>
          <w:rFonts w:ascii="Arial" w:hAnsi="Arial" w:cs="Arial"/>
          <w:bCs/>
          <w:szCs w:val="24"/>
          <w:lang w:eastAsia="en-GB"/>
        </w:rPr>
        <w:t>st</w:t>
      </w:r>
      <w:r w:rsidR="002371BD">
        <w:rPr>
          <w:rFonts w:ascii="Arial" w:hAnsi="Arial" w:cs="Arial"/>
          <w:bCs/>
          <w:szCs w:val="24"/>
          <w:lang w:eastAsia="en-GB"/>
        </w:rPr>
        <w:t xml:space="preserve"> a long-term solution is sought.</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36634C89" w:rsidR="00E10316" w:rsidRDefault="00430A7C"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Without sufficient HR support, the Authority is at risk of inadvertently breaking employment law. Commissioning HR advisors will help mitigate this risk.</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C63070">
        <w:trPr>
          <w:trHeight w:val="806"/>
        </w:trPr>
        <w:tc>
          <w:tcPr>
            <w:tcW w:w="1163" w:type="dxa"/>
          </w:tcPr>
          <w:p w14:paraId="34ACA641" w14:textId="0A03F5DF" w:rsidR="000379BA" w:rsidRPr="007A3E6A" w:rsidRDefault="000379BA" w:rsidP="00C63070">
            <w:pPr>
              <w:spacing w:before="120" w:after="120"/>
              <w:ind w:right="113"/>
              <w:rPr>
                <w:rFonts w:ascii="Arial" w:hAnsi="Arial" w:cs="Arial"/>
                <w:i/>
                <w:szCs w:val="24"/>
              </w:rPr>
            </w:pPr>
            <w:r w:rsidRPr="007A3E6A">
              <w:rPr>
                <w:rFonts w:ascii="Arial" w:hAnsi="Arial" w:cs="Arial"/>
                <w:szCs w:val="24"/>
              </w:rPr>
              <w:t>Contact Officers</w:t>
            </w: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5D99C5C7" w14:textId="376A747F" w:rsidR="000379BA" w:rsidRPr="008F7A7C" w:rsidRDefault="00174811" w:rsidP="00C63070">
            <w:pPr>
              <w:ind w:right="113"/>
              <w:rPr>
                <w:rFonts w:ascii="Arial" w:hAnsi="Arial"/>
              </w:rPr>
            </w:pPr>
            <w:hyperlink r:id="rId8" w:history="1">
              <w:r w:rsidR="000379BA" w:rsidRPr="00873524">
                <w:rPr>
                  <w:rStyle w:val="Hyperlink"/>
                  <w:rFonts w:ascii="Arial" w:hAnsi="Arial" w:cs="Arial"/>
                  <w:szCs w:val="24"/>
                </w:rPr>
                <w:t>tombeagan@westlondonwaste.gov.uk</w:t>
              </w:r>
            </w:hyperlink>
          </w:p>
        </w:tc>
        <w:tc>
          <w:tcPr>
            <w:tcW w:w="4820" w:type="dxa"/>
          </w:tcPr>
          <w:p w14:paraId="11708B5C" w14:textId="4A6247D4" w:rsidR="000379BA" w:rsidRDefault="000379BA" w:rsidP="00C63070">
            <w:pPr>
              <w:spacing w:before="120"/>
              <w:ind w:right="113"/>
              <w:rPr>
                <w:rFonts w:ascii="Arial" w:hAnsi="Arial" w:cs="Arial"/>
                <w:szCs w:val="24"/>
              </w:rPr>
            </w:pPr>
            <w:r>
              <w:rPr>
                <w:rFonts w:ascii="Arial" w:hAnsi="Arial" w:cs="Arial"/>
                <w:szCs w:val="24"/>
              </w:rPr>
              <w:t>01895 545516</w:t>
            </w:r>
          </w:p>
        </w:tc>
      </w:tr>
    </w:tbl>
    <w:p w14:paraId="5FE79014" w14:textId="77777777" w:rsidR="004A7478" w:rsidRPr="004A7478" w:rsidRDefault="004A7478" w:rsidP="001D3514">
      <w:pPr>
        <w:rPr>
          <w:rFonts w:ascii="Arial" w:hAnsi="Arial" w:cs="Arial"/>
          <w:szCs w:val="24"/>
        </w:rPr>
      </w:pPr>
    </w:p>
    <w:sectPr w:rsidR="004A7478" w:rsidRPr="004A7478" w:rsidSect="00400672">
      <w:footerReference w:type="default" r:id="rId9"/>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29AB" w14:textId="77777777" w:rsidR="00FD7694" w:rsidRDefault="00FD7694">
      <w:r>
        <w:separator/>
      </w:r>
    </w:p>
  </w:endnote>
  <w:endnote w:type="continuationSeparator" w:id="0">
    <w:p w14:paraId="5D330187" w14:textId="77777777" w:rsidR="00FD7694" w:rsidRDefault="00FD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63DD62A2"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7119AF">
      <w:rPr>
        <w:rFonts w:ascii="Arial" w:hAnsi="Arial" w:cs="Arial"/>
        <w:noProof/>
        <w:sz w:val="20"/>
        <w:szCs w:val="22"/>
      </w:rPr>
      <w:t>2</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D9C1" w14:textId="77777777" w:rsidR="00FD7694" w:rsidRDefault="00FD7694">
      <w:r>
        <w:separator/>
      </w:r>
    </w:p>
  </w:footnote>
  <w:footnote w:type="continuationSeparator" w:id="0">
    <w:p w14:paraId="3B7FCFA8" w14:textId="77777777" w:rsidR="00FD7694" w:rsidRDefault="00FD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CA10D9"/>
    <w:multiLevelType w:val="hybridMultilevel"/>
    <w:tmpl w:val="3DCA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4"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1" w15:restartNumberingAfterBreak="0">
    <w:nsid w:val="7D4C2445"/>
    <w:multiLevelType w:val="multilevel"/>
    <w:tmpl w:val="338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325085">
    <w:abstractNumId w:val="0"/>
  </w:num>
  <w:num w:numId="2" w16cid:durableId="1814250324">
    <w:abstractNumId w:val="18"/>
  </w:num>
  <w:num w:numId="3" w16cid:durableId="1462960646">
    <w:abstractNumId w:val="13"/>
  </w:num>
  <w:num w:numId="4" w16cid:durableId="90052809">
    <w:abstractNumId w:val="17"/>
  </w:num>
  <w:num w:numId="5" w16cid:durableId="271012723">
    <w:abstractNumId w:val="22"/>
  </w:num>
  <w:num w:numId="6" w16cid:durableId="469246129">
    <w:abstractNumId w:val="2"/>
  </w:num>
  <w:num w:numId="7" w16cid:durableId="80493438">
    <w:abstractNumId w:val="15"/>
  </w:num>
  <w:num w:numId="8" w16cid:durableId="2061591782">
    <w:abstractNumId w:val="8"/>
  </w:num>
  <w:num w:numId="9" w16cid:durableId="704408357">
    <w:abstractNumId w:val="19"/>
  </w:num>
  <w:num w:numId="10" w16cid:durableId="1992444730">
    <w:abstractNumId w:val="1"/>
  </w:num>
  <w:num w:numId="11" w16cid:durableId="1186290013">
    <w:abstractNumId w:val="6"/>
  </w:num>
  <w:num w:numId="12" w16cid:durableId="831873995">
    <w:abstractNumId w:val="3"/>
  </w:num>
  <w:num w:numId="13" w16cid:durableId="337344122">
    <w:abstractNumId w:val="7"/>
  </w:num>
  <w:num w:numId="14" w16cid:durableId="1024137120">
    <w:abstractNumId w:val="9"/>
  </w:num>
  <w:num w:numId="15" w16cid:durableId="812871860">
    <w:abstractNumId w:val="10"/>
  </w:num>
  <w:num w:numId="16" w16cid:durableId="781455778">
    <w:abstractNumId w:val="11"/>
  </w:num>
  <w:num w:numId="17" w16cid:durableId="1811703998">
    <w:abstractNumId w:val="14"/>
  </w:num>
  <w:num w:numId="18" w16cid:durableId="1043365042">
    <w:abstractNumId w:val="12"/>
  </w:num>
  <w:num w:numId="19" w16cid:durableId="1575583659">
    <w:abstractNumId w:val="16"/>
  </w:num>
  <w:num w:numId="20" w16cid:durableId="1781802814">
    <w:abstractNumId w:val="5"/>
  </w:num>
  <w:num w:numId="21" w16cid:durableId="1857647239">
    <w:abstractNumId w:val="4"/>
  </w:num>
  <w:num w:numId="22" w16cid:durableId="4102555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5C09"/>
    <w:rsid w:val="00006E91"/>
    <w:rsid w:val="00006FE3"/>
    <w:rsid w:val="000117FC"/>
    <w:rsid w:val="000118F2"/>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1CC8"/>
    <w:rsid w:val="00042940"/>
    <w:rsid w:val="00042DDC"/>
    <w:rsid w:val="00043326"/>
    <w:rsid w:val="000433B3"/>
    <w:rsid w:val="0004401C"/>
    <w:rsid w:val="00044459"/>
    <w:rsid w:val="00044BFB"/>
    <w:rsid w:val="00047753"/>
    <w:rsid w:val="00050103"/>
    <w:rsid w:val="00050BD6"/>
    <w:rsid w:val="00050D91"/>
    <w:rsid w:val="00050E94"/>
    <w:rsid w:val="00051129"/>
    <w:rsid w:val="000512D0"/>
    <w:rsid w:val="00051B59"/>
    <w:rsid w:val="00051F39"/>
    <w:rsid w:val="000549A3"/>
    <w:rsid w:val="0005584C"/>
    <w:rsid w:val="00056963"/>
    <w:rsid w:val="00057672"/>
    <w:rsid w:val="00060374"/>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0B9B"/>
    <w:rsid w:val="000A20CA"/>
    <w:rsid w:val="000A2765"/>
    <w:rsid w:val="000A6007"/>
    <w:rsid w:val="000A6544"/>
    <w:rsid w:val="000A681B"/>
    <w:rsid w:val="000A6B99"/>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4811"/>
    <w:rsid w:val="00175053"/>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7BE"/>
    <w:rsid w:val="00191A4B"/>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18A1"/>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1B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18C8"/>
    <w:rsid w:val="00271A0A"/>
    <w:rsid w:val="00272BD7"/>
    <w:rsid w:val="002731E6"/>
    <w:rsid w:val="00276164"/>
    <w:rsid w:val="002777F7"/>
    <w:rsid w:val="0028083B"/>
    <w:rsid w:val="00280858"/>
    <w:rsid w:val="0028110D"/>
    <w:rsid w:val="0028139E"/>
    <w:rsid w:val="002815E2"/>
    <w:rsid w:val="00283E54"/>
    <w:rsid w:val="00284A9A"/>
    <w:rsid w:val="0028560E"/>
    <w:rsid w:val="00285AF4"/>
    <w:rsid w:val="0029067B"/>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120"/>
    <w:rsid w:val="002F6F8D"/>
    <w:rsid w:val="002F7018"/>
    <w:rsid w:val="00300F4B"/>
    <w:rsid w:val="00302C21"/>
    <w:rsid w:val="00302C78"/>
    <w:rsid w:val="003032AE"/>
    <w:rsid w:val="00303BA8"/>
    <w:rsid w:val="00303E26"/>
    <w:rsid w:val="00304A16"/>
    <w:rsid w:val="00305108"/>
    <w:rsid w:val="0030533E"/>
    <w:rsid w:val="003057C3"/>
    <w:rsid w:val="003061CB"/>
    <w:rsid w:val="00306630"/>
    <w:rsid w:val="00306B8F"/>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2A04"/>
    <w:rsid w:val="00382BE3"/>
    <w:rsid w:val="00382CDE"/>
    <w:rsid w:val="00382E7D"/>
    <w:rsid w:val="00384813"/>
    <w:rsid w:val="00384F4E"/>
    <w:rsid w:val="00385176"/>
    <w:rsid w:val="00385A84"/>
    <w:rsid w:val="0038684F"/>
    <w:rsid w:val="00386FAA"/>
    <w:rsid w:val="00387594"/>
    <w:rsid w:val="0039009E"/>
    <w:rsid w:val="00390A96"/>
    <w:rsid w:val="00392179"/>
    <w:rsid w:val="0039302C"/>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24A2"/>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4C1D"/>
    <w:rsid w:val="004250AE"/>
    <w:rsid w:val="00425B38"/>
    <w:rsid w:val="004268AD"/>
    <w:rsid w:val="00426AE3"/>
    <w:rsid w:val="00426FD9"/>
    <w:rsid w:val="0042767B"/>
    <w:rsid w:val="00430A7C"/>
    <w:rsid w:val="00430ACE"/>
    <w:rsid w:val="00431D69"/>
    <w:rsid w:val="0043350D"/>
    <w:rsid w:val="00433E69"/>
    <w:rsid w:val="004351F7"/>
    <w:rsid w:val="00435571"/>
    <w:rsid w:val="0043592C"/>
    <w:rsid w:val="004365D3"/>
    <w:rsid w:val="00436A35"/>
    <w:rsid w:val="00436C75"/>
    <w:rsid w:val="00437221"/>
    <w:rsid w:val="004373DF"/>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E3"/>
    <w:rsid w:val="00493324"/>
    <w:rsid w:val="00493CD3"/>
    <w:rsid w:val="004944D1"/>
    <w:rsid w:val="0049469B"/>
    <w:rsid w:val="004949D2"/>
    <w:rsid w:val="004955A9"/>
    <w:rsid w:val="00496525"/>
    <w:rsid w:val="00496684"/>
    <w:rsid w:val="00496D08"/>
    <w:rsid w:val="0049742E"/>
    <w:rsid w:val="004A165D"/>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3FA3"/>
    <w:rsid w:val="004C4EF4"/>
    <w:rsid w:val="004C5D0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747"/>
    <w:rsid w:val="004E08E7"/>
    <w:rsid w:val="004E0ED5"/>
    <w:rsid w:val="004E137D"/>
    <w:rsid w:val="004E23A9"/>
    <w:rsid w:val="004E2E8C"/>
    <w:rsid w:val="004E30A7"/>
    <w:rsid w:val="004E3149"/>
    <w:rsid w:val="004E3DDE"/>
    <w:rsid w:val="004E5480"/>
    <w:rsid w:val="004E61A9"/>
    <w:rsid w:val="004E65A4"/>
    <w:rsid w:val="004E6AC2"/>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877"/>
    <w:rsid w:val="00534B5C"/>
    <w:rsid w:val="00535020"/>
    <w:rsid w:val="00535E80"/>
    <w:rsid w:val="00536264"/>
    <w:rsid w:val="005365E5"/>
    <w:rsid w:val="005405EF"/>
    <w:rsid w:val="005419E6"/>
    <w:rsid w:val="00541E98"/>
    <w:rsid w:val="00541FC3"/>
    <w:rsid w:val="005424EC"/>
    <w:rsid w:val="005437F1"/>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2F8B"/>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9D1"/>
    <w:rsid w:val="00600D97"/>
    <w:rsid w:val="00601977"/>
    <w:rsid w:val="00601E5E"/>
    <w:rsid w:val="006045E3"/>
    <w:rsid w:val="00605029"/>
    <w:rsid w:val="006059D6"/>
    <w:rsid w:val="00605E9D"/>
    <w:rsid w:val="00606BAE"/>
    <w:rsid w:val="00610BDF"/>
    <w:rsid w:val="00611585"/>
    <w:rsid w:val="0061182D"/>
    <w:rsid w:val="00612839"/>
    <w:rsid w:val="00613454"/>
    <w:rsid w:val="00615805"/>
    <w:rsid w:val="006160AA"/>
    <w:rsid w:val="006225CC"/>
    <w:rsid w:val="00622E5E"/>
    <w:rsid w:val="00623761"/>
    <w:rsid w:val="006243B3"/>
    <w:rsid w:val="00625164"/>
    <w:rsid w:val="006258C1"/>
    <w:rsid w:val="006273E9"/>
    <w:rsid w:val="0062759C"/>
    <w:rsid w:val="006278F9"/>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1825"/>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67A37"/>
    <w:rsid w:val="0067065F"/>
    <w:rsid w:val="00671632"/>
    <w:rsid w:val="00671740"/>
    <w:rsid w:val="006723B5"/>
    <w:rsid w:val="00672FE0"/>
    <w:rsid w:val="006740D6"/>
    <w:rsid w:val="00675690"/>
    <w:rsid w:val="00675E6B"/>
    <w:rsid w:val="0067602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832"/>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1C4A"/>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19AF"/>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531"/>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0CC8"/>
    <w:rsid w:val="00781135"/>
    <w:rsid w:val="00781AB5"/>
    <w:rsid w:val="00783657"/>
    <w:rsid w:val="00783F2A"/>
    <w:rsid w:val="00783FC8"/>
    <w:rsid w:val="0078417B"/>
    <w:rsid w:val="007845D7"/>
    <w:rsid w:val="00784955"/>
    <w:rsid w:val="00784F91"/>
    <w:rsid w:val="00785721"/>
    <w:rsid w:val="00791081"/>
    <w:rsid w:val="007915B5"/>
    <w:rsid w:val="00791604"/>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428C"/>
    <w:rsid w:val="00804534"/>
    <w:rsid w:val="00804A19"/>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3251"/>
    <w:rsid w:val="00874270"/>
    <w:rsid w:val="00874C9A"/>
    <w:rsid w:val="00875307"/>
    <w:rsid w:val="00876453"/>
    <w:rsid w:val="00880428"/>
    <w:rsid w:val="008819E1"/>
    <w:rsid w:val="00881DA8"/>
    <w:rsid w:val="00882A8F"/>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21A7"/>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3224"/>
    <w:rsid w:val="008C435D"/>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442"/>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56B43"/>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3B8"/>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1CAA"/>
    <w:rsid w:val="009B31A3"/>
    <w:rsid w:val="009B33E9"/>
    <w:rsid w:val="009B3D83"/>
    <w:rsid w:val="009B41AB"/>
    <w:rsid w:val="009B4493"/>
    <w:rsid w:val="009B4A20"/>
    <w:rsid w:val="009B6F7A"/>
    <w:rsid w:val="009B7AD6"/>
    <w:rsid w:val="009C0094"/>
    <w:rsid w:val="009C0ED2"/>
    <w:rsid w:val="009C21B8"/>
    <w:rsid w:val="009C25F9"/>
    <w:rsid w:val="009C2A5C"/>
    <w:rsid w:val="009C2B48"/>
    <w:rsid w:val="009C3A24"/>
    <w:rsid w:val="009C4A8C"/>
    <w:rsid w:val="009C59ED"/>
    <w:rsid w:val="009C5F32"/>
    <w:rsid w:val="009C6747"/>
    <w:rsid w:val="009D0D82"/>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0AA"/>
    <w:rsid w:val="009E670C"/>
    <w:rsid w:val="009E72C8"/>
    <w:rsid w:val="009F0F11"/>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200E"/>
    <w:rsid w:val="00A23210"/>
    <w:rsid w:val="00A233DF"/>
    <w:rsid w:val="00A24580"/>
    <w:rsid w:val="00A248AC"/>
    <w:rsid w:val="00A248FC"/>
    <w:rsid w:val="00A250BF"/>
    <w:rsid w:val="00A2560F"/>
    <w:rsid w:val="00A26192"/>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82A"/>
    <w:rsid w:val="00A70B63"/>
    <w:rsid w:val="00A72148"/>
    <w:rsid w:val="00A72F52"/>
    <w:rsid w:val="00A72F92"/>
    <w:rsid w:val="00A7438D"/>
    <w:rsid w:val="00A74DEE"/>
    <w:rsid w:val="00A75EBC"/>
    <w:rsid w:val="00A77DA8"/>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97D1D"/>
    <w:rsid w:val="00AA069B"/>
    <w:rsid w:val="00AA1065"/>
    <w:rsid w:val="00AA2904"/>
    <w:rsid w:val="00AA29CA"/>
    <w:rsid w:val="00AA43BD"/>
    <w:rsid w:val="00AA5FE6"/>
    <w:rsid w:val="00AB04DC"/>
    <w:rsid w:val="00AB0528"/>
    <w:rsid w:val="00AB08BA"/>
    <w:rsid w:val="00AB0E52"/>
    <w:rsid w:val="00AB248A"/>
    <w:rsid w:val="00AB271A"/>
    <w:rsid w:val="00AB2D12"/>
    <w:rsid w:val="00AB4495"/>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5E2F"/>
    <w:rsid w:val="00AD6BED"/>
    <w:rsid w:val="00AD7BDA"/>
    <w:rsid w:val="00AE060C"/>
    <w:rsid w:val="00AE0CBB"/>
    <w:rsid w:val="00AE21DA"/>
    <w:rsid w:val="00AE26D3"/>
    <w:rsid w:val="00AE29E1"/>
    <w:rsid w:val="00AE3C15"/>
    <w:rsid w:val="00AE4862"/>
    <w:rsid w:val="00AE4A4E"/>
    <w:rsid w:val="00AE5C2D"/>
    <w:rsid w:val="00AE64BB"/>
    <w:rsid w:val="00AE7984"/>
    <w:rsid w:val="00AF0049"/>
    <w:rsid w:val="00AF0293"/>
    <w:rsid w:val="00AF0EED"/>
    <w:rsid w:val="00AF19DE"/>
    <w:rsid w:val="00AF38AE"/>
    <w:rsid w:val="00AF3C7C"/>
    <w:rsid w:val="00AF4164"/>
    <w:rsid w:val="00AF4F79"/>
    <w:rsid w:val="00AF5573"/>
    <w:rsid w:val="00AF5EDD"/>
    <w:rsid w:val="00AF62A3"/>
    <w:rsid w:val="00B004DA"/>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50D5"/>
    <w:rsid w:val="00B96484"/>
    <w:rsid w:val="00B96668"/>
    <w:rsid w:val="00BA086B"/>
    <w:rsid w:val="00BA0D1E"/>
    <w:rsid w:val="00BA1063"/>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5891"/>
    <w:rsid w:val="00BC6976"/>
    <w:rsid w:val="00BC6F4D"/>
    <w:rsid w:val="00BD226F"/>
    <w:rsid w:val="00BD2BAF"/>
    <w:rsid w:val="00BD3069"/>
    <w:rsid w:val="00BD31CE"/>
    <w:rsid w:val="00BD3C81"/>
    <w:rsid w:val="00BD5A9B"/>
    <w:rsid w:val="00BD652F"/>
    <w:rsid w:val="00BD795B"/>
    <w:rsid w:val="00BE1D5F"/>
    <w:rsid w:val="00BE2348"/>
    <w:rsid w:val="00BE2546"/>
    <w:rsid w:val="00BE26B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1E1"/>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4CBB"/>
    <w:rsid w:val="00C55E2C"/>
    <w:rsid w:val="00C5612E"/>
    <w:rsid w:val="00C6030D"/>
    <w:rsid w:val="00C60630"/>
    <w:rsid w:val="00C612B5"/>
    <w:rsid w:val="00C63070"/>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CE5"/>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8CE"/>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B46"/>
    <w:rsid w:val="00CD4F15"/>
    <w:rsid w:val="00CD63D4"/>
    <w:rsid w:val="00CD6713"/>
    <w:rsid w:val="00CD7BC3"/>
    <w:rsid w:val="00CD7F84"/>
    <w:rsid w:val="00CE193C"/>
    <w:rsid w:val="00CE1CD6"/>
    <w:rsid w:val="00CE2184"/>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5713"/>
    <w:rsid w:val="00D15A18"/>
    <w:rsid w:val="00D16CB3"/>
    <w:rsid w:val="00D17F5A"/>
    <w:rsid w:val="00D22CE8"/>
    <w:rsid w:val="00D23D24"/>
    <w:rsid w:val="00D24B4D"/>
    <w:rsid w:val="00D24FF5"/>
    <w:rsid w:val="00D25383"/>
    <w:rsid w:val="00D2663B"/>
    <w:rsid w:val="00D26C04"/>
    <w:rsid w:val="00D30255"/>
    <w:rsid w:val="00D31034"/>
    <w:rsid w:val="00D3128D"/>
    <w:rsid w:val="00D333F5"/>
    <w:rsid w:val="00D33AAB"/>
    <w:rsid w:val="00D34645"/>
    <w:rsid w:val="00D34DBA"/>
    <w:rsid w:val="00D35311"/>
    <w:rsid w:val="00D35BE0"/>
    <w:rsid w:val="00D40D83"/>
    <w:rsid w:val="00D42AF9"/>
    <w:rsid w:val="00D43C06"/>
    <w:rsid w:val="00D445C6"/>
    <w:rsid w:val="00D45030"/>
    <w:rsid w:val="00D45239"/>
    <w:rsid w:val="00D457A3"/>
    <w:rsid w:val="00D459DE"/>
    <w:rsid w:val="00D45AC1"/>
    <w:rsid w:val="00D470B4"/>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5F95"/>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432C"/>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3E9D"/>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2EF9"/>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2492"/>
    <w:rsid w:val="00EF38DD"/>
    <w:rsid w:val="00EF486E"/>
    <w:rsid w:val="00EF4CBF"/>
    <w:rsid w:val="00EF4EA5"/>
    <w:rsid w:val="00EF5A5F"/>
    <w:rsid w:val="00F011A9"/>
    <w:rsid w:val="00F016F9"/>
    <w:rsid w:val="00F02B47"/>
    <w:rsid w:val="00F03305"/>
    <w:rsid w:val="00F04027"/>
    <w:rsid w:val="00F04B5D"/>
    <w:rsid w:val="00F0661F"/>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23E0"/>
    <w:rsid w:val="00F22FE8"/>
    <w:rsid w:val="00F2409E"/>
    <w:rsid w:val="00F24293"/>
    <w:rsid w:val="00F25CB2"/>
    <w:rsid w:val="00F30411"/>
    <w:rsid w:val="00F3108E"/>
    <w:rsid w:val="00F31675"/>
    <w:rsid w:val="00F338EB"/>
    <w:rsid w:val="00F3398F"/>
    <w:rsid w:val="00F34228"/>
    <w:rsid w:val="00F346D4"/>
    <w:rsid w:val="00F37921"/>
    <w:rsid w:val="00F37AB1"/>
    <w:rsid w:val="00F40079"/>
    <w:rsid w:val="00F4139D"/>
    <w:rsid w:val="00F43D1E"/>
    <w:rsid w:val="00F44DB3"/>
    <w:rsid w:val="00F45440"/>
    <w:rsid w:val="00F47816"/>
    <w:rsid w:val="00F502B8"/>
    <w:rsid w:val="00F50484"/>
    <w:rsid w:val="00F51228"/>
    <w:rsid w:val="00F5188A"/>
    <w:rsid w:val="00F51E66"/>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073C"/>
    <w:rsid w:val="00F7112B"/>
    <w:rsid w:val="00F724F9"/>
    <w:rsid w:val="00F73692"/>
    <w:rsid w:val="00F73BF7"/>
    <w:rsid w:val="00F73D55"/>
    <w:rsid w:val="00F749F1"/>
    <w:rsid w:val="00F74E21"/>
    <w:rsid w:val="00F77076"/>
    <w:rsid w:val="00F774F9"/>
    <w:rsid w:val="00F77E32"/>
    <w:rsid w:val="00F8075E"/>
    <w:rsid w:val="00F80839"/>
    <w:rsid w:val="00F8110A"/>
    <w:rsid w:val="00F81498"/>
    <w:rsid w:val="00F81BB5"/>
    <w:rsid w:val="00F82159"/>
    <w:rsid w:val="00F8274F"/>
    <w:rsid w:val="00F8391D"/>
    <w:rsid w:val="00F83AAB"/>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6DCE"/>
    <w:rsid w:val="00F97256"/>
    <w:rsid w:val="00F973FC"/>
    <w:rsid w:val="00F977F0"/>
    <w:rsid w:val="00F97DBA"/>
    <w:rsid w:val="00FA2010"/>
    <w:rsid w:val="00FA22CC"/>
    <w:rsid w:val="00FA4335"/>
    <w:rsid w:val="00FA4EA2"/>
    <w:rsid w:val="00FA5597"/>
    <w:rsid w:val="00FA57A7"/>
    <w:rsid w:val="00FA5D50"/>
    <w:rsid w:val="00FB0625"/>
    <w:rsid w:val="00FB2C08"/>
    <w:rsid w:val="00FB31C4"/>
    <w:rsid w:val="00FB48C6"/>
    <w:rsid w:val="00FB5C1C"/>
    <w:rsid w:val="00FB612D"/>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694"/>
    <w:rsid w:val="00FD7C26"/>
    <w:rsid w:val="00FE0047"/>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29291175">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301452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649D-638F-43ED-9864-9BA10377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5016</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4</cp:revision>
  <cp:lastPrinted>2019-09-11T09:24:00Z</cp:lastPrinted>
  <dcterms:created xsi:type="dcterms:W3CDTF">2023-06-12T14:25:00Z</dcterms:created>
  <dcterms:modified xsi:type="dcterms:W3CDTF">2023-06-13T17:20:00Z</dcterms:modified>
</cp:coreProperties>
</file>